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B4" w:rsidRDefault="00B85342">
      <w:r>
        <w:rPr>
          <w:noProof/>
        </w:rPr>
        <w:drawing>
          <wp:inline distT="0" distB="0" distL="0" distR="0">
            <wp:extent cx="571500" cy="6826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42" t="-923" r="-1142" b="-92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0B4" w:rsidRDefault="00B85342">
      <w:pPr>
        <w:keepNext/>
        <w:spacing w:before="240" w:line="280" w:lineRule="exact"/>
        <w:rPr>
          <w:rFonts w:ascii="Times New Roman" w:hAnsi="Times New Roman"/>
          <w:b/>
          <w:bCs/>
          <w:spacing w:val="20"/>
        </w:rPr>
      </w:pPr>
      <w:r>
        <w:rPr>
          <w:rFonts w:ascii="Times New Roman" w:hAnsi="Times New Roman"/>
          <w:b/>
          <w:bCs/>
          <w:spacing w:val="20"/>
        </w:rPr>
        <w:t xml:space="preserve">МИНИСТЕРСТВО ОБРАЗОВАНИЯ </w:t>
      </w:r>
    </w:p>
    <w:p w:rsidR="006820B4" w:rsidRDefault="00B85342">
      <w:pPr>
        <w:keepNext/>
        <w:spacing w:before="120" w:line="280" w:lineRule="exact"/>
        <w:rPr>
          <w:rFonts w:ascii="Times New Roman" w:hAnsi="Times New Roman"/>
          <w:b/>
          <w:bCs/>
          <w:spacing w:val="20"/>
        </w:rPr>
      </w:pPr>
      <w:r>
        <w:rPr>
          <w:rFonts w:ascii="Times New Roman" w:hAnsi="Times New Roman"/>
          <w:b/>
          <w:bCs/>
          <w:spacing w:val="20"/>
        </w:rPr>
        <w:t>ПРИМОРСКОГО КРАЯ</w:t>
      </w:r>
    </w:p>
    <w:p w:rsidR="006820B4" w:rsidRDefault="00B85342">
      <w:pPr>
        <w:spacing w:before="500" w:after="440" w:line="280" w:lineRule="exact"/>
      </w:pPr>
      <w:r>
        <w:rPr>
          <w:rFonts w:ascii="Times New Roman" w:hAnsi="Times New Roman"/>
        </w:rPr>
        <w:t xml:space="preserve">ПРИКАЗ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61"/>
        <w:gridCol w:w="4820"/>
        <w:gridCol w:w="359"/>
        <w:gridCol w:w="2049"/>
      </w:tblGrid>
      <w:tr w:rsidR="006820B4">
        <w:tc>
          <w:tcPr>
            <w:tcW w:w="2660" w:type="dxa"/>
            <w:tcBorders>
              <w:bottom w:val="single" w:sz="4" w:space="0" w:color="000000"/>
            </w:tcBorders>
            <w:vAlign w:val="bottom"/>
          </w:tcPr>
          <w:p w:rsidR="006820B4" w:rsidRDefault="006820B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6820B4" w:rsidRDefault="00B85342">
            <w:pPr>
              <w:tabs>
                <w:tab w:val="left" w:pos="4854"/>
              </w:tabs>
              <w:ind w:left="-108"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359" w:type="dxa"/>
            <w:vAlign w:val="bottom"/>
          </w:tcPr>
          <w:p w:rsidR="006820B4" w:rsidRDefault="00B85342">
            <w:pPr>
              <w:ind w:left="-108"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vAlign w:val="bottom"/>
          </w:tcPr>
          <w:p w:rsidR="006820B4" w:rsidRDefault="006820B4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6820B4" w:rsidRDefault="006820B4">
      <w:pPr>
        <w:spacing w:after="240" w:line="360" w:lineRule="auto"/>
        <w:rPr>
          <w:sz w:val="16"/>
          <w:szCs w:val="16"/>
        </w:rPr>
      </w:pPr>
    </w:p>
    <w:p w:rsidR="006820B4" w:rsidRDefault="00B853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регионального конкурса </w:t>
      </w:r>
    </w:p>
    <w:p w:rsidR="006820B4" w:rsidRDefault="00B85342">
      <w:pPr>
        <w:pStyle w:val="normal1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инженерно-технических проектов «Точка равновесия» </w:t>
      </w:r>
    </w:p>
    <w:p w:rsidR="006820B4" w:rsidRDefault="00B85342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среди образовательных организаций Приморского края</w:t>
      </w:r>
    </w:p>
    <w:p w:rsidR="006820B4" w:rsidRDefault="006820B4">
      <w:pPr>
        <w:tabs>
          <w:tab w:val="left" w:pos="5220"/>
        </w:tabs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6820B4" w:rsidRDefault="006820B4">
      <w:pPr>
        <w:tabs>
          <w:tab w:val="left" w:pos="5220"/>
        </w:tabs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6820B4" w:rsidRDefault="00B85342" w:rsidP="00A624E9">
      <w:pPr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исполнение приказа министерства образования Приморского края от 21 января 2024 года № пр.23а-48 «О реализации регионального комплексного плана мероприятий по повышению качества математического и естественно-научного образования в Приморском крае в 2025 году и на период до 2030 года»</w:t>
      </w:r>
      <w:r w:rsidR="00A624E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 р и к а з ы в а ю:</w:t>
      </w:r>
    </w:p>
    <w:p w:rsidR="006820B4" w:rsidRDefault="00B8534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Провести </w:t>
      </w:r>
      <w:r>
        <w:rPr>
          <w:rFonts w:ascii="Times New Roman" w:hAnsi="Times New Roman"/>
          <w:color w:val="000000"/>
        </w:rPr>
        <w:t>среди образовательных организаций Приморского края региональный конкурс инженерно-технических проектов «Точка равновесия» (далее - Конкурс) с 15 июля по 15 августа 2025 года в два этапа в соответствии с положением.</w:t>
      </w:r>
    </w:p>
    <w:p w:rsidR="006820B4" w:rsidRDefault="00B8534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положение о Конкурсе и состав организационного комитета (</w:t>
      </w:r>
      <w:r w:rsidR="00A624E9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риложение).</w:t>
      </w:r>
    </w:p>
    <w:p w:rsidR="006820B4" w:rsidRDefault="00B8534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Государственному автономному учреждению дополнительного профессионального образования «Приморский краевой институт развития образования» (</w:t>
      </w:r>
      <w:proofErr w:type="spellStart"/>
      <w:r>
        <w:rPr>
          <w:rFonts w:ascii="Times New Roman" w:hAnsi="Times New Roman"/>
        </w:rPr>
        <w:t>Михалёвой</w:t>
      </w:r>
      <w:proofErr w:type="spellEnd"/>
      <w:r>
        <w:rPr>
          <w:rFonts w:ascii="Times New Roman" w:hAnsi="Times New Roman"/>
        </w:rPr>
        <w:t xml:space="preserve"> К.Э.) обеспечить организацию, сопровождение и информационную поддержку мероприятий Конкурса.</w:t>
      </w:r>
    </w:p>
    <w:p w:rsidR="006820B4" w:rsidRDefault="00B8534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Руководителям муниципальных органов управления образованием обеспечить участие команд образовательных организаций в Конкурсе.</w:t>
      </w:r>
    </w:p>
    <w:p w:rsidR="006820B4" w:rsidRDefault="00B8534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Контроль за исполнением настоящего приказа возложить на заместителя министра образования Приморского края </w:t>
      </w:r>
      <w:proofErr w:type="spellStart"/>
      <w:r>
        <w:rPr>
          <w:rFonts w:ascii="Times New Roman" w:hAnsi="Times New Roman"/>
        </w:rPr>
        <w:t>Меховскую</w:t>
      </w:r>
      <w:proofErr w:type="spellEnd"/>
      <w:r>
        <w:rPr>
          <w:rFonts w:ascii="Times New Roman" w:hAnsi="Times New Roman"/>
        </w:rPr>
        <w:t xml:space="preserve"> А.Ю.</w:t>
      </w:r>
    </w:p>
    <w:p w:rsidR="006820B4" w:rsidRDefault="006820B4">
      <w:pPr>
        <w:jc w:val="both"/>
        <w:rPr>
          <w:rFonts w:ascii="Times New Roman" w:hAnsi="Times New Roman"/>
          <w:color w:val="000000"/>
        </w:rPr>
      </w:pPr>
    </w:p>
    <w:p w:rsidR="006820B4" w:rsidRDefault="006820B4">
      <w:pPr>
        <w:jc w:val="both"/>
        <w:rPr>
          <w:rFonts w:ascii="Times New Roman" w:hAnsi="Times New Roman"/>
          <w:color w:val="000000"/>
        </w:rPr>
      </w:pPr>
    </w:p>
    <w:p w:rsidR="00A624E9" w:rsidRDefault="00B8534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И. о. </w:t>
      </w:r>
      <w:r>
        <w:rPr>
          <w:rFonts w:ascii="Times New Roman" w:hAnsi="Times New Roman"/>
          <w:color w:val="000000"/>
        </w:rPr>
        <w:t>министра образования</w:t>
      </w:r>
    </w:p>
    <w:p w:rsidR="006820B4" w:rsidRDefault="00B85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Приморского края                                                   </w:t>
      </w:r>
      <w:r w:rsidR="00A624E9">
        <w:rPr>
          <w:rFonts w:ascii="Times New Roman" w:hAnsi="Times New Roman"/>
          <w:color w:val="000000"/>
        </w:rPr>
        <w:t xml:space="preserve">                      </w:t>
      </w:r>
      <w:r>
        <w:rPr>
          <w:rFonts w:ascii="Times New Roman" w:hAnsi="Times New Roman"/>
          <w:color w:val="000000"/>
        </w:rPr>
        <w:t>И.О. Бушманова</w:t>
      </w:r>
    </w:p>
    <w:p w:rsidR="006820B4" w:rsidRDefault="006820B4">
      <w:pPr>
        <w:jc w:val="both"/>
        <w:rPr>
          <w:color w:val="000000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6820B4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A624E9" w:rsidRDefault="00A624E9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A624E9" w:rsidRDefault="00A624E9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A624E9" w:rsidRDefault="00A624E9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6820B4" w:rsidRDefault="00A624E9">
      <w:pPr>
        <w:widowControl/>
        <w:spacing w:line="276" w:lineRule="auto"/>
        <w:ind w:left="4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Приложение</w:t>
      </w:r>
    </w:p>
    <w:p w:rsidR="00A624E9" w:rsidRDefault="00A624E9">
      <w:pPr>
        <w:widowControl/>
        <w:spacing w:line="276" w:lineRule="auto"/>
        <w:ind w:left="4535"/>
        <w:rPr>
          <w:rFonts w:ascii="Times New Roman" w:hAnsi="Times New Roman" w:cs="Times New Roman"/>
        </w:rPr>
      </w:pPr>
    </w:p>
    <w:p w:rsidR="00F94F64" w:rsidRDefault="00B85342" w:rsidP="00F94F64">
      <w:pPr>
        <w:widowControl/>
        <w:spacing w:line="276" w:lineRule="auto"/>
        <w:ind w:left="45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F94F64" w:rsidRDefault="00F94F64" w:rsidP="00F94F64">
      <w:pPr>
        <w:widowControl/>
        <w:spacing w:line="276" w:lineRule="auto"/>
        <w:ind w:left="45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85342">
        <w:rPr>
          <w:rFonts w:ascii="Times New Roman" w:hAnsi="Times New Roman" w:cs="Times New Roman"/>
        </w:rPr>
        <w:t>риказом</w:t>
      </w:r>
    </w:p>
    <w:p w:rsidR="006820B4" w:rsidRDefault="00A624E9" w:rsidP="00F94F64">
      <w:pPr>
        <w:widowControl/>
        <w:spacing w:line="276" w:lineRule="auto"/>
        <w:ind w:left="453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</w:t>
      </w:r>
      <w:r w:rsidR="00B85342">
        <w:rPr>
          <w:rFonts w:ascii="Times New Roman" w:hAnsi="Times New Roman" w:cs="Times New Roman"/>
        </w:rPr>
        <w:t xml:space="preserve">министра образования </w:t>
      </w:r>
    </w:p>
    <w:p w:rsidR="006820B4" w:rsidRDefault="00B85342" w:rsidP="00A624E9">
      <w:pPr>
        <w:widowControl/>
        <w:spacing w:line="276" w:lineRule="auto"/>
        <w:ind w:left="45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Приморского края </w:t>
      </w:r>
    </w:p>
    <w:p w:rsidR="006820B4" w:rsidRDefault="00B85342" w:rsidP="00A624E9">
      <w:pPr>
        <w:widowControl/>
        <w:spacing w:line="276" w:lineRule="auto"/>
        <w:ind w:left="45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 № _____</w:t>
      </w:r>
    </w:p>
    <w:p w:rsidR="006820B4" w:rsidRDefault="006820B4">
      <w:pPr>
        <w:pStyle w:val="normal1"/>
        <w:rPr>
          <w:rFonts w:ascii="Times New Roman" w:eastAsia="Times New Roman" w:hAnsi="Times New Roman" w:cs="Times New Roman"/>
          <w:color w:val="000000"/>
        </w:rPr>
      </w:pPr>
    </w:p>
    <w:p w:rsidR="006820B4" w:rsidRDefault="006820B4">
      <w:pPr>
        <w:pStyle w:val="normal1"/>
        <w:rPr>
          <w:rFonts w:ascii="Times New Roman" w:eastAsia="Times New Roman" w:hAnsi="Times New Roman" w:cs="Times New Roman"/>
          <w:color w:val="000000"/>
        </w:rPr>
      </w:pPr>
    </w:p>
    <w:p w:rsidR="006820B4" w:rsidRDefault="00B85342">
      <w:pPr>
        <w:pStyle w:val="normal1"/>
        <w:rPr>
          <w:rFonts w:ascii="Times New Roman" w:eastAsia="Times New Roman" w:hAnsi="Times New Roman" w:cs="Times New Roman"/>
          <w:b/>
          <w:color w:val="000000"/>
        </w:rPr>
      </w:pPr>
      <w:bookmarkStart w:id="0" w:name="_wcrvvznai9vm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ПОЛОЖЕНИЕ </w:t>
      </w:r>
    </w:p>
    <w:p w:rsidR="006820B4" w:rsidRDefault="00B85342">
      <w:pPr>
        <w:pStyle w:val="normal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 проведении регионального конкурса </w:t>
      </w:r>
    </w:p>
    <w:p w:rsidR="006820B4" w:rsidRDefault="00B85342">
      <w:pPr>
        <w:pStyle w:val="normal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инженерно-технических проектов «Точка равновесия» </w:t>
      </w:r>
    </w:p>
    <w:p w:rsidR="006820B4" w:rsidRDefault="00B85342">
      <w:pPr>
        <w:pStyle w:val="normal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среди образовательных организаций Приморского края</w:t>
      </w:r>
    </w:p>
    <w:p w:rsidR="006820B4" w:rsidRDefault="006820B4">
      <w:pPr>
        <w:pStyle w:val="normal1"/>
        <w:rPr>
          <w:rFonts w:ascii="Times New Roman" w:eastAsia="Times New Roman" w:hAnsi="Times New Roman" w:cs="Times New Roman"/>
          <w:b/>
          <w:color w:val="000000"/>
        </w:rPr>
      </w:pPr>
    </w:p>
    <w:p w:rsidR="006820B4" w:rsidRDefault="00B85342">
      <w:pPr>
        <w:pStyle w:val="normal1"/>
        <w:spacing w:before="228" w:after="228" w:line="360" w:lineRule="auto"/>
      </w:pPr>
      <w:r>
        <w:rPr>
          <w:rFonts w:ascii="Times New Roman" w:eastAsia="Times New Roman" w:hAnsi="Times New Roman" w:cs="Times New Roman"/>
          <w:b/>
          <w:color w:val="000000"/>
        </w:rPr>
        <w:t>1. Общие положения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1.1 Настоящее положение определяет цель, задачи, порядок проведения регионального конкурса инженерно-технических проектов «Точка равновесия» среди учащихся общеобразовательных организаций Приморского края (далее - Конкурс). 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 Организаторами Конкурса являются министерство образования Приморского края и Государственное автономное учреждение дополнительного профессионального образования «Приморский краевой институт развития образования» (далее - ГАУ ДПО ПК ИРО).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1.3. Конкурс проводится в рамках реализации кластерной политики в образовании Приморского края и регионального комплексного плана математического и естественно-научного образования.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1.4. Конкурс ориентирован на поддержку инженерно-технического творчества и развитие математического мышления школьников.</w:t>
      </w:r>
    </w:p>
    <w:p w:rsidR="006820B4" w:rsidRDefault="00B85342" w:rsidP="00A624E9">
      <w:pPr>
        <w:pStyle w:val="normal1"/>
        <w:spacing w:before="114" w:after="114" w:line="360" w:lineRule="auto"/>
        <w:ind w:firstLine="709"/>
      </w:pPr>
      <w:r>
        <w:rPr>
          <w:rFonts w:ascii="Times New Roman" w:eastAsia="Times New Roman" w:hAnsi="Times New Roman" w:cs="Times New Roman"/>
          <w:b/>
          <w:bCs/>
          <w:color w:val="000000"/>
        </w:rPr>
        <w:t>2. Цели и задачи Конкурса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2.1. Конкурс проводится в целях приобщения учащихся к занятию инженерно-техническим творчеством, поддержку стремления детей к </w:t>
      </w:r>
      <w:r>
        <w:rPr>
          <w:rFonts w:ascii="Times New Roman" w:eastAsia="Times New Roman" w:hAnsi="Times New Roman" w:cs="Times New Roman"/>
          <w:color w:val="000000"/>
        </w:rPr>
        <w:lastRenderedPageBreak/>
        <w:t>моделированию предметов окружающего мира.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2.2. Задачи Конкурса: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- демонстрация умений и навыков конструирования и производства творческих инженерных решений;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- презентация результатов инженерно-технических проектов;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- привлечение большого количества обучающихся к занятиям инженерно-технической направленности.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 Участники Конкурса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3.1. Конкурс проводится среди воспитанники дошкольных образовательных организаций и обучающихся общеобразовательных организаций по возрастным категориям: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- воспитанники 5 - 7 лет;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- обучающиеся 1- 4 классов;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- обучающиеся 5 - 8 классов;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- обучающиеся 9 - 11 классов.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3.2. В конкурсе принимают участие команды в составе 3-х человек детей в сопровождении 2-х взрослых (педагогов, родителей). Количество команд от одной образовательной организации не ограничено.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3.3. Участники Конкурса готовят инженерно-технический проект - модель «Машина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Голдберга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3.4. Участники могут использовать справочные материалы «Что такое «Машина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Голдберга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»»:</w:t>
      </w:r>
    </w:p>
    <w:p w:rsidR="006820B4" w:rsidRDefault="00815B44" w:rsidP="00A624E9">
      <w:pPr>
        <w:pStyle w:val="normal1"/>
        <w:spacing w:before="114" w:after="11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hyperlink r:id="rId8" w:tgtFrame="_blank">
        <w:r w:rsidR="00B85342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https://vk.com/video-110114773_456239329</w:t>
        </w:r>
      </w:hyperlink>
      <w:r w:rsidR="00B853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853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9" w:tgtFrame="_blank">
        <w:r w:rsidR="00B85342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https://ru.m.wikipedia.org/wiki/%D0%9C%D0%B0%D1%88%D0%B8%D0%BD%D0%B0_%D0%93%D0%BE%D0%BB%D0%B4%D0%B1%D0%B5%D1%80%D0%B3%D0%B0</w:t>
        </w:r>
      </w:hyperlink>
    </w:p>
    <w:p w:rsidR="00A624E9" w:rsidRDefault="00A624E9" w:rsidP="00A624E9">
      <w:pPr>
        <w:pStyle w:val="normal1"/>
        <w:spacing w:before="114" w:after="114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820B4" w:rsidRDefault="00B85342" w:rsidP="00A624E9">
      <w:pPr>
        <w:pStyle w:val="normal1"/>
        <w:spacing w:before="114" w:after="114" w:line="360" w:lineRule="auto"/>
        <w:ind w:firstLine="709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4. Сроки и порядок проведения Конкурса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4.1. </w:t>
      </w:r>
      <w:bookmarkStart w:id="1" w:name="_GoBack"/>
      <w:r>
        <w:rPr>
          <w:rFonts w:ascii="Times New Roman" w:eastAsia="Times New Roman" w:hAnsi="Times New Roman" w:cs="Times New Roman"/>
          <w:color w:val="000000"/>
        </w:rPr>
        <w:t>Конкурс проводится с 15 июля по 15 августа 2025 года в два этапа - дистанционно и очно.</w:t>
      </w:r>
    </w:p>
    <w:bookmarkEnd w:id="1"/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4.2. Дистанционный этап проводится с 15 июля по 1 августа 2025. На данном этапе участники проектируют творческую работу по своему замыслу. Снимают видеоролик, демонстрирующий процесс производства проекта и конечный результат. Съемка горизонтальная, продолжительностью не более 3-х минут. Конкурсные видеоматериалы размещаются на доступных интернет - платформах (например,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Рутуб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Яндекс-диск и т. п.). Авторам необходимо открыть доступ по ссылке для оценки конкурсной работы жюри Конкурса. Ссылку разместить в форме регистрации.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4.3. Прием конкурсных работ осуществляется до 1 августа 2025 года в форме регистрации по ссылке  </w:t>
      </w:r>
      <w:hyperlink r:id="rId10">
        <w:r>
          <w:rPr>
            <w:rStyle w:val="a3"/>
            <w:rFonts w:ascii="Times New Roman" w:eastAsia="Times New Roman" w:hAnsi="Times New Roman" w:cs="Times New Roman"/>
            <w:color w:val="000000"/>
            <w:shd w:val="clear" w:color="auto" w:fill="FFFFFF"/>
          </w:rPr>
          <w:t>https://nextcloud.primorsky.ru/apps/forms/s/RdFB2x2PsXpp5JbXfxA7kC8Q</w:t>
        </w:r>
      </w:hyperlink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4.4. Очный этап проводится 15 августа 2025 года. На очный этап приглашаются по 3 команды каждой возрастной категории, набравшие наибольшее количество баллов на дистанционном этапе. Очный этап Конкурса носит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презентационно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- выставочный характер. На очном этапе команды проводят презентации конкурсных работ.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4.5. Место проведения очного этапа Конкурса г. Владивосток, ул.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Светланская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22.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5. Критерии оценивания работ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5.1. Жюри конкурса дает оценку конкурсных работ по следующим критериям: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количество используемых в модели «Машины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Голдберга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» элементов (шагов), продолжительность процесса;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 значимость конечного результата;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- оригинальность идеи;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 степень конструкторской сложности;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 качество модели, наличие общего эстетичного вида.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5.2. При защите своей модели учитывается: логика изложения, убедительность рассуждений и выводов, умение отвечать на вопросы.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6. Организационный комитет конкурса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6.1. Для организации и проведения Конкурса создается организационный комитет, возглавляемый ответственным представителем министерства образования Приморского края.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6.2. Организационный комитет: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 определяет и корректирует концепцию Конкурса, порядок его проведения;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 осуществляет подбор членов Жюри;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разрабатывает программу Конкурса и сценарий его проведения.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7. Жюри Конкурса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7.1. В Жюри конкурса входят специалисты министерства образования Приморского края и ГАУ ДПО ПК ИРО, специалисты в области физики и технологии, независимые эксперты.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7.2. Председателем Жюри Конкурса избирается эксперт по вопросам инженерно-технического развития детей.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7.3. Председатель Жюри осуществляет общее методическое руководство проведением Конкурса, формирует экспертные листы, организует оценивание конкурсных работ в соответствии с экспертными листами.</w:t>
      </w:r>
    </w:p>
    <w:p w:rsidR="006820B4" w:rsidRDefault="00B85342" w:rsidP="00A624E9">
      <w:pPr>
        <w:pStyle w:val="normal1"/>
        <w:spacing w:before="114" w:after="114" w:line="360" w:lineRule="auto"/>
        <w:ind w:firstLine="709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8. Подведение итогов Конкурса</w:t>
      </w:r>
    </w:p>
    <w:p w:rsidR="006820B4" w:rsidRDefault="00B85342" w:rsidP="00A624E9">
      <w:pPr>
        <w:pStyle w:val="normal1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8.1. Итоги Конкурса утверждаются соответствующим протоколом.</w:t>
      </w:r>
    </w:p>
    <w:p w:rsidR="006820B4" w:rsidRDefault="00B85342" w:rsidP="00A624E9">
      <w:pPr>
        <w:pStyle w:val="normal1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lastRenderedPageBreak/>
        <w:t>8.2. Команды</w:t>
      </w:r>
      <w:r w:rsidR="00A624E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занявшие первое, второе и третье место награждаются дипломами победителей, все остальные участники получают дипломы участников </w:t>
      </w:r>
      <w:r>
        <w:rPr>
          <w:rFonts w:ascii="Times New Roman" w:eastAsia="Times New Roman" w:hAnsi="Times New Roman" w:cs="Times New Roman"/>
          <w:highlight w:val="white"/>
        </w:rPr>
        <w:t>министерства образования</w:t>
      </w:r>
      <w:r w:rsidR="00A624E9">
        <w:rPr>
          <w:rFonts w:ascii="Times New Roman" w:eastAsia="Times New Roman" w:hAnsi="Times New Roman" w:cs="Times New Roman"/>
          <w:highlight w:val="white"/>
        </w:rPr>
        <w:t xml:space="preserve"> Приморского края</w:t>
      </w:r>
      <w:r>
        <w:rPr>
          <w:rFonts w:ascii="Times New Roman" w:eastAsia="Times New Roman" w:hAnsi="Times New Roman" w:cs="Times New Roman"/>
        </w:rPr>
        <w:t xml:space="preserve">. </w:t>
      </w:r>
    </w:p>
    <w:p w:rsidR="006820B4" w:rsidRDefault="00B85342" w:rsidP="00A624E9">
      <w:pPr>
        <w:pStyle w:val="normal1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8.3. Педагогам и родителям (тренерам команд), подготовившим участников соревнований, вручаются </w:t>
      </w:r>
      <w:r>
        <w:rPr>
          <w:rFonts w:ascii="Times New Roman" w:eastAsia="Times New Roman" w:hAnsi="Times New Roman" w:cs="Times New Roman"/>
          <w:highlight w:val="white"/>
        </w:rPr>
        <w:t>благодарственные письма министерства образования.</w:t>
      </w:r>
    </w:p>
    <w:p w:rsidR="006820B4" w:rsidRDefault="006820B4" w:rsidP="00A624E9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right"/>
        <w:rPr>
          <w:rFonts w:ascii="Times New Roman" w:hAnsi="Times New Roman"/>
        </w:rPr>
      </w:pPr>
    </w:p>
    <w:p w:rsidR="006820B4" w:rsidRDefault="006820B4" w:rsidP="00A624E9">
      <w:pPr>
        <w:pStyle w:val="normal1"/>
        <w:spacing w:line="360" w:lineRule="auto"/>
        <w:jc w:val="both"/>
        <w:rPr>
          <w:rFonts w:ascii="Times New Roman" w:hAnsi="Times New Roman"/>
        </w:rPr>
      </w:pPr>
    </w:p>
    <w:p w:rsidR="006820B4" w:rsidRDefault="00B85342" w:rsidP="00A624E9">
      <w:pPr>
        <w:pStyle w:val="normal1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Состав оргкомитета</w:t>
      </w:r>
    </w:p>
    <w:p w:rsidR="006820B4" w:rsidRDefault="006820B4" w:rsidP="00A624E9">
      <w:pPr>
        <w:pStyle w:val="normal1"/>
        <w:spacing w:line="360" w:lineRule="auto"/>
        <w:rPr>
          <w:rFonts w:ascii="Times New Roman" w:eastAsia="Times New Roman" w:hAnsi="Times New Roman" w:cs="Times New Roman"/>
          <w:b/>
        </w:rPr>
      </w:pPr>
    </w:p>
    <w:p w:rsidR="006820B4" w:rsidRDefault="00B85342" w:rsidP="00A624E9">
      <w:pPr>
        <w:pStyle w:val="normal1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1. Меховская Анна Юрьевна, заместитель министра образования Приморского края;</w:t>
      </w:r>
    </w:p>
    <w:p w:rsidR="006820B4" w:rsidRDefault="00B85342" w:rsidP="00A624E9">
      <w:pPr>
        <w:pStyle w:val="normal1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</w:rPr>
        <w:t>Михалёва</w:t>
      </w:r>
      <w:proofErr w:type="spellEnd"/>
      <w:r>
        <w:rPr>
          <w:rFonts w:ascii="Times New Roman" w:eastAsia="Times New Roman" w:hAnsi="Times New Roman" w:cs="Times New Roman"/>
        </w:rPr>
        <w:t xml:space="preserve"> Ксения Эдуардовна,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ректора ГАУ ДПО ПК ИРО;</w:t>
      </w:r>
    </w:p>
    <w:p w:rsidR="006820B4" w:rsidRDefault="00B85342" w:rsidP="00A624E9">
      <w:pPr>
        <w:pStyle w:val="normal1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3. Путинцева Людмила Валерьевна, начальник отдела качества общего образования управления качества общего образования министерства образования Приморского края;</w:t>
      </w:r>
    </w:p>
    <w:p w:rsidR="006820B4" w:rsidRDefault="00B85342" w:rsidP="00A624E9">
      <w:pPr>
        <w:pStyle w:val="normal1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4. Головина Ирина Николаевна, начальник отдела общего образования управления качества общего образования министерства образования Приморского края;</w:t>
      </w:r>
    </w:p>
    <w:p w:rsidR="006820B4" w:rsidRDefault="00B85342" w:rsidP="00A624E9">
      <w:pPr>
        <w:pStyle w:val="normal1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</w:rPr>
        <w:t>Качкимбаева</w:t>
      </w:r>
      <w:proofErr w:type="spellEnd"/>
      <w:r>
        <w:rPr>
          <w:rFonts w:ascii="Times New Roman" w:eastAsia="Times New Roman" w:hAnsi="Times New Roman" w:cs="Times New Roman"/>
        </w:rPr>
        <w:t xml:space="preserve"> Кристина Михайловна, главный специалист - эксперт отдела общего образования управления качества общего образования министерства образования Приморского края;</w:t>
      </w:r>
    </w:p>
    <w:p w:rsidR="006820B4" w:rsidRDefault="00B85342" w:rsidP="00A624E9">
      <w:pPr>
        <w:pStyle w:val="normal1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</w:rPr>
        <w:t>Кызласова</w:t>
      </w:r>
      <w:proofErr w:type="spellEnd"/>
      <w:r>
        <w:rPr>
          <w:rFonts w:ascii="Times New Roman" w:eastAsia="Times New Roman" w:hAnsi="Times New Roman" w:cs="Times New Roman"/>
        </w:rPr>
        <w:t xml:space="preserve"> Юлия </w:t>
      </w:r>
      <w:proofErr w:type="spellStart"/>
      <w:r>
        <w:rPr>
          <w:rFonts w:ascii="Times New Roman" w:eastAsia="Times New Roman" w:hAnsi="Times New Roman" w:cs="Times New Roman"/>
        </w:rPr>
        <w:t>Жоржевна</w:t>
      </w:r>
      <w:proofErr w:type="spellEnd"/>
      <w:r>
        <w:rPr>
          <w:rFonts w:ascii="Times New Roman" w:eastAsia="Times New Roman" w:hAnsi="Times New Roman" w:cs="Times New Roman"/>
        </w:rPr>
        <w:t>, главный специалист - эксперт отдела качества общего образования управления качества общего образования министерства образования Приморского края</w:t>
      </w:r>
      <w:r w:rsidR="00A624E9">
        <w:rPr>
          <w:rFonts w:ascii="Times New Roman" w:eastAsia="Times New Roman" w:hAnsi="Times New Roman" w:cs="Times New Roman"/>
        </w:rPr>
        <w:t>.</w:t>
      </w:r>
    </w:p>
    <w:sectPr w:rsidR="006820B4" w:rsidSect="00A624E9">
      <w:footerReference w:type="default" r:id="rId11"/>
      <w:pgSz w:w="11906" w:h="16838"/>
      <w:pgMar w:top="1134" w:right="850" w:bottom="1134" w:left="1701" w:header="0" w:footer="1017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44" w:rsidRDefault="00815B44">
      <w:r>
        <w:separator/>
      </w:r>
    </w:p>
  </w:endnote>
  <w:endnote w:type="continuationSeparator" w:id="0">
    <w:p w:rsidR="00815B44" w:rsidRDefault="0081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Cambria"/>
    <w:charset w:val="01"/>
    <w:family w:val="roman"/>
    <w:pitch w:val="default"/>
  </w:font>
  <w:font w:name="Noto Sans Devanagari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B4" w:rsidRDefault="006820B4">
    <w:pPr>
      <w:pStyle w:val="normal1"/>
      <w:tabs>
        <w:tab w:val="center" w:pos="4819"/>
        <w:tab w:val="right" w:pos="9638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44" w:rsidRDefault="00815B44">
      <w:r>
        <w:separator/>
      </w:r>
    </w:p>
  </w:footnote>
  <w:footnote w:type="continuationSeparator" w:id="0">
    <w:p w:rsidR="00815B44" w:rsidRDefault="0081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C2CF78"/>
    <w:multiLevelType w:val="multilevel"/>
    <w:tmpl w:val="87C2CF7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B4"/>
    <w:rsid w:val="001D38B2"/>
    <w:rsid w:val="006820B4"/>
    <w:rsid w:val="006860C5"/>
    <w:rsid w:val="00815B44"/>
    <w:rsid w:val="00A624E9"/>
    <w:rsid w:val="00B85342"/>
    <w:rsid w:val="00F94F64"/>
    <w:rsid w:val="2139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A3380-BA4A-43F0-AE6B-2AF971C6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center"/>
    </w:pPr>
    <w:rPr>
      <w:rFonts w:ascii="PT Astra Serif" w:eastAsia="PT Astra Serif" w:hAnsi="PT Astra Serif" w:cs="PT Astra Serif"/>
      <w:sz w:val="28"/>
      <w:szCs w:val="28"/>
    </w:rPr>
  </w:style>
  <w:style w:type="paragraph" w:styleId="1">
    <w:name w:val="heading 1"/>
    <w:basedOn w:val="normal1"/>
    <w:next w:val="normal1"/>
    <w:qFormat/>
    <w:pPr>
      <w:outlineLvl w:val="0"/>
    </w:pPr>
    <w:rPr>
      <w:b/>
    </w:rPr>
  </w:style>
  <w:style w:type="paragraph" w:styleId="2">
    <w:name w:val="heading 2"/>
    <w:basedOn w:val="normal1"/>
    <w:next w:val="normal1"/>
    <w:qFormat/>
    <w:pPr>
      <w:outlineLvl w:val="1"/>
    </w:pPr>
    <w:rPr>
      <w:b/>
    </w:rPr>
  </w:style>
  <w:style w:type="paragraph" w:styleId="3">
    <w:name w:val="heading 3"/>
    <w:basedOn w:val="normal1"/>
    <w:next w:val="normal1"/>
    <w:qFormat/>
    <w:pPr>
      <w:outlineLvl w:val="2"/>
    </w:pPr>
    <w:rPr>
      <w:b/>
    </w:rPr>
  </w:style>
  <w:style w:type="paragraph" w:styleId="4">
    <w:name w:val="heading 4"/>
    <w:basedOn w:val="normal1"/>
    <w:next w:val="normal1"/>
    <w:qFormat/>
    <w:pPr>
      <w:outlineLvl w:val="3"/>
    </w:pPr>
    <w:rPr>
      <w:b/>
    </w:rPr>
  </w:style>
  <w:style w:type="paragraph" w:styleId="5">
    <w:name w:val="heading 5"/>
    <w:basedOn w:val="normal1"/>
    <w:next w:val="normal1"/>
    <w:qFormat/>
    <w:pPr>
      <w:outlineLvl w:val="4"/>
    </w:pPr>
    <w:rPr>
      <w:b/>
    </w:rPr>
  </w:style>
  <w:style w:type="paragraph" w:styleId="6">
    <w:name w:val="heading 6"/>
    <w:basedOn w:val="normal1"/>
    <w:next w:val="normal1"/>
    <w:qFormat/>
    <w:pPr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pPr>
      <w:widowControl w:val="0"/>
      <w:suppressAutoHyphens/>
      <w:jc w:val="center"/>
    </w:pPr>
    <w:rPr>
      <w:rFonts w:ascii="PT Astra Serif" w:eastAsia="PT Astra Serif" w:hAnsi="PT Astra Serif" w:cs="PT Astra Serif"/>
      <w:sz w:val="28"/>
      <w:szCs w:val="28"/>
    </w:rPr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Title"/>
    <w:basedOn w:val="normal1"/>
    <w:next w:val="normal1"/>
    <w:qFormat/>
    <w:pPr>
      <w:spacing w:after="170"/>
    </w:pPr>
    <w:rPr>
      <w:b/>
    </w:rPr>
  </w:style>
  <w:style w:type="paragraph" w:styleId="a7">
    <w:name w:val="footer"/>
    <w:basedOn w:val="a8"/>
    <w:qFormat/>
  </w:style>
  <w:style w:type="paragraph" w:customStyle="1" w:styleId="a8">
    <w:name w:val="Колонтитул"/>
    <w:basedOn w:val="a"/>
    <w:qFormat/>
  </w:style>
  <w:style w:type="paragraph" w:styleId="a9">
    <w:name w:val="List"/>
    <w:basedOn w:val="a5"/>
    <w:qFormat/>
    <w:rPr>
      <w:rFonts w:cs="Noto Sans Devanagari"/>
    </w:rPr>
  </w:style>
  <w:style w:type="paragraph" w:styleId="aa">
    <w:name w:val="Subtitle"/>
    <w:basedOn w:val="normal1"/>
    <w:next w:val="normal1"/>
    <w:qFormat/>
    <w:pPr>
      <w:ind w:left="709"/>
      <w:jc w:val="both"/>
    </w:pPr>
    <w:rPr>
      <w:b/>
    </w:rPr>
  </w:style>
  <w:style w:type="character" w:customStyle="1" w:styleId="WW8Num1z0">
    <w:name w:val="WW8Num1z0"/>
    <w:qFormat/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eastAsia="Tahoma" w:cs="Noto Sans Devanagari"/>
    </w:rPr>
  </w:style>
  <w:style w:type="paragraph" w:customStyle="1" w:styleId="11">
    <w:name w:val="Указатель1"/>
    <w:basedOn w:val="a"/>
    <w:qFormat/>
    <w:pPr>
      <w:suppressLineNumbers/>
    </w:pPr>
    <w:rPr>
      <w:rFonts w:cs="Noto Sans Devanagari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10114773_4562393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extcloud.primorsky.ru/apps/forms/s/RdFB2x2PsXpp5JbXfxA7kC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m.wikipedia.org/wiki/&#1052;&#1072;&#1096;&#1080;&#1085;&#1072;_&#1043;&#1086;&#1083;&#1076;&#1073;&#1077;&#1088;&#1075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Melnikova_tv</dc:creator>
  <cp:lastModifiedBy>St4</cp:lastModifiedBy>
  <cp:revision>2</cp:revision>
  <cp:lastPrinted>2025-06-20T07:27:00Z</cp:lastPrinted>
  <dcterms:created xsi:type="dcterms:W3CDTF">2025-06-30T04:01:00Z</dcterms:created>
  <dcterms:modified xsi:type="dcterms:W3CDTF">2025-06-30T04:01:00Z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D657253F65784305B44B83F2D2DFFB1D_13</vt:lpwstr>
  </property>
</Properties>
</file>