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0" w:name="undefined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sz w:val="28"/>
          <w:szCs w:val="16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16"/>
        </w:rPr>
        <w:t xml:space="preserve"> к приказу</w:t>
      </w:r>
      <w:r>
        <w:rPr>
          <w:rFonts w:ascii="Times New Roman" w:hAnsi="Times New Roman" w:eastAsia="Times New Roman" w:cs="Times New Roman"/>
          <w:sz w:val="28"/>
          <w:szCs w:val="16"/>
        </w:rPr>
        <w:t xml:space="preserve"> № 79-а</w:t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8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16"/>
        </w:rPr>
        <w:t xml:space="preserve">                                                                                                                                           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16"/>
        </w:rPr>
        <w:t xml:space="preserve">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Муниципальный  план мероприятий, направленных на формирование и оценку функциональной грамотности обучающихся общеобра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зовательных организаций Дальнереченского городского округа, на 2024/2025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учебный год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5"/>
        <w:gridCol w:w="4263"/>
        <w:gridCol w:w="3402"/>
        <w:gridCol w:w="3969"/>
        <w:gridCol w:w="2835"/>
      </w:tblGrid>
      <w:tr>
        <w:tblPrEx/>
        <w:trPr/>
        <w:tc>
          <w:tcPr>
            <w:shd w:val="clear" w:color="ffffff" w:fill="ffffff"/>
            <w:tcW w:w="66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W w:w="4263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Срок исполнения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19"/>
        <w:gridCol w:w="3402"/>
        <w:gridCol w:w="3969"/>
        <w:gridCol w:w="2835"/>
      </w:tblGrid>
      <w:tr>
        <w:tblPrEx/>
        <w:trPr>
          <w:tblHeader/>
        </w:trPr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Организация методических совещаний по вопросу формирования и оценки функциональной грамотности обучающихся со специалистами  школьных методических служб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19 сентября,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Далее 1 раз в четверть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Протокол совещания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МКУ «Управление образования»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Уточнение списка школьных координаторов по формированию и оценке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Приказ о назначении школьных  координаторов по формированию и оценке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Руководители ОУ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Актуализация содержания раздела на официальном сайте МКУ «Управление образования» по формированию и оценке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Раздел на официальном сайте МКУ «Управление образования», формирование банка материалов, лучших образовательных практик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 методических тематических дней по вопросам формирования и оценки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Ежемесячно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охват участия специалистов МОУО и ОО, ответственных за формирование и оценку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функциональной грамотности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ОУ, 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информационного и методического сопровождения реализации муниципальных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(школьных) планов мероприятий, направленных на формирование и оценку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методические адресные рекомендации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входного и итогового тестирования по формированию функциональной грамотности обучающихся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 и 9 классов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 классы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- 2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 – 11.04.2025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8,9 классы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Входное – 23.09 - 11.10.2024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Итоговое -  03.03 - 17.03.2024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Региональные диагностические работы, проведенные посредством МСОКО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1546"/>
        </w:trPr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Подготовка аналитических справок по результатам   диагностических работ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.10.202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 динамики формирования функциональной грамотности, пополнение банка информационных материалов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Образовательные организации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«УО»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Включение в деятельность проектов предпрофессионального образования (медицинские, инженерные,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агроклассы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), центров образования цифрового и гуманитарного профилей «Точка роста», профильных классов  образовательных программ /траекторий по формированию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охват участников целевой категории тематическими мероприятиями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 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участия обучающихся целевой категории в программах и проектах по формированию финансовой грамотности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охват участников целевой категории тематическими мероприятиями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Образовательные организации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 10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Обеспечение участия в реализации программ повышения квалификации по вопросам функциональной грамотности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Стратегии и практики формирования и оценки функциональной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грамотности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обучающихся на уровне НОО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11 – 20.09.2024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01-09.11.2024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Повышена квалификация 100% учителей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периодичностью 1 раз в 3 года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(в том числе, по индивидуальным образовательным маршрутам)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 вопросам формирования функциональной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грамотности средствами преподаваемого предмета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 11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Участие в региональном семинаре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«Новые подходы оценки уровня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сформированности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 функциональной грамотности по модели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  <w:lang w:val="en-US"/>
              </w:rPr>
              <w:t xml:space="preserve">PISA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 раз в квартал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100% охват участия учителей целевой категории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  <w:t xml:space="preserve">ПК ИРО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наставничества с целью повышения уровня учителей по вопросам формирования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Наставники у ряда учителей целевой категории, нуждающихся в индивидуальной помощи наставника (по запросу)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Формирование муниципального методического актива по вопросам формирования и оценки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30.09.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Региональный методический актив и муниципальные методические активы в каждом муниципалитете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ПК ИРО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Организация и проведение открытых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уроков по вопросам формирования и оценки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октября по май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Утвержденный график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очных открытых уроков по вопросам формирования и оценки функциональной грамотности, опубликованный на сайте школ и 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 15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Банк успешных практик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Внесение информации об использовании заданий из открытого банка заданий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для оценки   функциональной грамотности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 рабочие программы предметам в 5-9 классах.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Сентябрь 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100%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использовани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заданий из открытого банка заданий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учителями-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предмет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никами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в 5-9 классах.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none"/>
              </w:rPr>
              <w:t xml:space="preserve">Образовательные организации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 17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Проведение мониторинга реализации  школьных планов мероприятий, направленных на формирование и оценку функцио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нальной грамотности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включая мониторинг внедрения в учебный процесс банка заданий для оценки  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Сентябрь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май 202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Анализ состояния реализации  школьных планов мероприятий, направленных на формирование и оценку функциональной грамотности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обучающихся и процесса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внедрения в учебный процесс банка заданий для оценки функциональной грамотности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  <w:t xml:space="preserve">  18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21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Принятие управленческих решений по результатам проведенных мероприятий и мониторингов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4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.2024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Корректировка плана мероприятий, итоговая аналитическая справка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МКУ «Управление образования»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widowControl w:val="off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85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2024-09-09T05:50:42Z</dcterms:modified>
</cp:coreProperties>
</file>